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D50" w:rsidRPr="00A77FC4" w:rsidRDefault="005B5D50" w:rsidP="005B5D50">
      <w:pPr>
        <w:pStyle w:val="ParaClause"/>
        <w:spacing w:before="0" w:after="0" w:line="276" w:lineRule="auto"/>
        <w:ind w:left="0" w:right="-425"/>
        <w:contextualSpacing/>
        <w:rPr>
          <w:rFonts w:ascii="Tahoma" w:hAnsi="Tahoma" w:cs="Tahoma"/>
          <w:color w:val="auto"/>
          <w:sz w:val="22"/>
          <w:szCs w:val="22"/>
          <w:lang w:eastAsia="en-GB"/>
        </w:rPr>
      </w:pPr>
      <w:r>
        <w:rPr>
          <w:rFonts w:ascii="Tahoma" w:hAnsi="Tahoma" w:cs="Tahoma"/>
          <w:color w:val="auto"/>
          <w:sz w:val="22"/>
          <w:szCs w:val="22"/>
          <w:lang w:eastAsia="en-GB"/>
        </w:rPr>
        <w:t xml:space="preserve">Kincardine and Mearns CAB </w:t>
      </w:r>
      <w:proofErr w:type="gramStart"/>
      <w:r>
        <w:rPr>
          <w:rFonts w:ascii="Tahoma" w:hAnsi="Tahoma" w:cs="Tahoma"/>
          <w:color w:val="auto"/>
          <w:sz w:val="22"/>
          <w:szCs w:val="22"/>
          <w:lang w:eastAsia="en-GB"/>
        </w:rPr>
        <w:t>is</w:t>
      </w:r>
      <w:proofErr w:type="gramEnd"/>
      <w:r w:rsidRPr="6C16FF32">
        <w:rPr>
          <w:rFonts w:ascii="Tahoma" w:hAnsi="Tahoma" w:cs="Tahoma"/>
          <w:color w:val="auto"/>
          <w:sz w:val="22"/>
          <w:szCs w:val="22"/>
          <w:lang w:eastAsia="en-GB"/>
        </w:rPr>
        <w:t xml:space="preserve">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rsidR="005B5D50" w:rsidRPr="00A77FC4" w:rsidRDefault="005B5D50" w:rsidP="005B5D50">
      <w:pPr>
        <w:pStyle w:val="ParaClause"/>
        <w:spacing w:before="0" w:after="0" w:line="276" w:lineRule="auto"/>
        <w:ind w:left="0" w:right="-425"/>
        <w:contextualSpacing/>
        <w:rPr>
          <w:rFonts w:ascii="Tahoma" w:hAnsi="Tahoma" w:cs="Tahoma"/>
          <w:bCs/>
          <w:color w:val="auto"/>
          <w:sz w:val="22"/>
          <w:szCs w:val="22"/>
          <w:lang w:eastAsia="en-GB"/>
        </w:rPr>
      </w:pPr>
    </w:p>
    <w:p w:rsidR="005B5D50" w:rsidRPr="00A77FC4" w:rsidRDefault="005B5D50" w:rsidP="005B5D50">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rsidR="005B5D50" w:rsidRPr="00A77FC4" w:rsidRDefault="005B5D50" w:rsidP="005B5D50">
      <w:pPr>
        <w:pStyle w:val="ParaClause"/>
        <w:spacing w:before="0" w:after="0" w:line="276" w:lineRule="auto"/>
        <w:ind w:left="0" w:right="-425"/>
        <w:contextualSpacing/>
        <w:jc w:val="right"/>
        <w:rPr>
          <w:rFonts w:ascii="Tahoma" w:hAnsi="Tahoma" w:cs="Tahoma"/>
          <w:color w:val="auto"/>
          <w:sz w:val="22"/>
          <w:szCs w:val="22"/>
        </w:rPr>
      </w:pPr>
    </w:p>
    <w:p w:rsidR="005B5D50" w:rsidRPr="00A77FC4" w:rsidRDefault="005B5D50" w:rsidP="005B5D50">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rsidR="005B5D50" w:rsidRPr="00A77FC4" w:rsidRDefault="005B5D50" w:rsidP="005B5D50">
      <w:pPr>
        <w:pStyle w:val="ParaClause"/>
        <w:spacing w:before="0" w:after="0" w:line="276" w:lineRule="auto"/>
        <w:ind w:left="0" w:right="-425"/>
        <w:contextualSpacing/>
        <w:rPr>
          <w:rFonts w:ascii="Tahoma" w:hAnsi="Tahoma" w:cs="Tahoma"/>
          <w:bCs/>
          <w:color w:val="auto"/>
          <w:sz w:val="22"/>
          <w:szCs w:val="22"/>
          <w:lang w:eastAsia="en-GB"/>
        </w:rPr>
      </w:pPr>
    </w:p>
    <w:p w:rsidR="005B5D50" w:rsidRPr="00A77FC4" w:rsidRDefault="005B5D50" w:rsidP="005B5D50">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rsidR="005B5D50" w:rsidRPr="00A77FC4" w:rsidRDefault="005B5D50" w:rsidP="005B5D50">
      <w:pPr>
        <w:spacing w:after="240" w:line="276" w:lineRule="auto"/>
        <w:ind w:right="-425"/>
        <w:contextualSpacing/>
        <w:jc w:val="both"/>
        <w:rPr>
          <w:rFonts w:ascii="Tahoma" w:hAnsi="Tahoma" w:cs="Tahoma"/>
          <w:sz w:val="22"/>
          <w:szCs w:val="22"/>
          <w:highlight w:val="yellow"/>
          <w:lang w:eastAsia="en-GB"/>
        </w:rPr>
      </w:pPr>
      <w:r>
        <w:rPr>
          <w:rFonts w:ascii="Tahoma" w:eastAsia="Times New Roman" w:hAnsi="Tahoma" w:cs="Tahoma"/>
          <w:sz w:val="22"/>
          <w:szCs w:val="22"/>
          <w:lang w:eastAsia="en-GB"/>
        </w:rPr>
        <w:t xml:space="preserve">Kincardine and Mearns CAB </w:t>
      </w:r>
      <w:proofErr w:type="gramStart"/>
      <w:r w:rsidRPr="6C16FF32">
        <w:rPr>
          <w:rFonts w:ascii="Tahoma" w:eastAsia="Times New Roman" w:hAnsi="Tahoma" w:cs="Tahoma"/>
          <w:sz w:val="22"/>
          <w:szCs w:val="22"/>
          <w:lang w:eastAsia="en-GB"/>
        </w:rPr>
        <w:t>is</w:t>
      </w:r>
      <w:proofErr w:type="gramEnd"/>
      <w:r w:rsidRPr="6C16FF32">
        <w:rPr>
          <w:rFonts w:ascii="Tahoma" w:eastAsia="Times New Roman" w:hAnsi="Tahoma" w:cs="Tahoma"/>
          <w:sz w:val="22"/>
          <w:szCs w:val="22"/>
          <w:lang w:eastAsia="en-GB"/>
        </w:rPr>
        <w:t xml:space="preserve"> a data controller, meaning that it determines the processes to be used when using your personal data. Our contact details are as follows: </w:t>
      </w:r>
      <w:r>
        <w:rPr>
          <w:rFonts w:ascii="Tahoma" w:eastAsia="Times New Roman" w:hAnsi="Tahoma" w:cs="Tahoma"/>
          <w:sz w:val="22"/>
          <w:szCs w:val="22"/>
          <w:lang w:eastAsia="en-GB"/>
        </w:rPr>
        <w:t xml:space="preserve">Kincardine and Mearns CAB, Sherriff Court Building, </w:t>
      </w:r>
      <w:proofErr w:type="spellStart"/>
      <w:r>
        <w:rPr>
          <w:rFonts w:ascii="Tahoma" w:eastAsia="Times New Roman" w:hAnsi="Tahoma" w:cs="Tahoma"/>
          <w:sz w:val="22"/>
          <w:szCs w:val="22"/>
          <w:lang w:eastAsia="en-GB"/>
        </w:rPr>
        <w:t>Dunnotar</w:t>
      </w:r>
      <w:proofErr w:type="spellEnd"/>
      <w:r>
        <w:rPr>
          <w:rFonts w:ascii="Tahoma" w:eastAsia="Times New Roman" w:hAnsi="Tahoma" w:cs="Tahoma"/>
          <w:sz w:val="22"/>
          <w:szCs w:val="22"/>
          <w:lang w:eastAsia="en-GB"/>
        </w:rPr>
        <w:t xml:space="preserve"> Avenue, Stonehaven. T: 01569 766 578.</w:t>
      </w:r>
    </w:p>
    <w:p w:rsidR="005B5D50" w:rsidRDefault="005B5D50" w:rsidP="005B5D50">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rsidR="005B5D50" w:rsidRPr="00A77FC4" w:rsidRDefault="005B5D50" w:rsidP="005B5D50">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rsidR="005B5D50" w:rsidRDefault="005B5D50" w:rsidP="005B5D50">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rsidR="005B5D50" w:rsidRPr="00A77FC4" w:rsidRDefault="005B5D50" w:rsidP="005B5D50">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rsidR="005B5D50" w:rsidRPr="00A77FC4" w:rsidRDefault="005B5D50" w:rsidP="005B5D50">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rsidR="005B5D50" w:rsidRPr="00A77FC4" w:rsidRDefault="005B5D50" w:rsidP="005B5D50">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lastRenderedPageBreak/>
        <w:t xml:space="preserve">As a job applicant, </w:t>
      </w:r>
      <w:r>
        <w:rPr>
          <w:rFonts w:ascii="Tahoma" w:eastAsia="Times New Roman" w:hAnsi="Tahoma" w:cs="Tahoma"/>
          <w:sz w:val="22"/>
          <w:szCs w:val="22"/>
          <w:lang w:eastAsia="en-GB"/>
        </w:rPr>
        <w:t xml:space="preserve">Kincardine and Mearns CAB </w:t>
      </w:r>
      <w:r w:rsidRPr="6C16FF32">
        <w:rPr>
          <w:rFonts w:ascii="Tahoma" w:eastAsia="Times New Roman" w:hAnsi="Tahoma" w:cs="Tahoma"/>
          <w:sz w:val="22"/>
          <w:szCs w:val="22"/>
          <w:lang w:eastAsia="en-GB"/>
        </w:rPr>
        <w:t xml:space="preserve">will hold many types of data about you, including: </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information included on your application form including employment and education history</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documentation relating to your right to work in the UK</w:t>
      </w:r>
    </w:p>
    <w:p w:rsidR="005B5D50" w:rsidRPr="00A77FC4" w:rsidRDefault="005B5D50" w:rsidP="005B5D50">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rsidR="005B5D50" w:rsidRPr="00A77FC4" w:rsidRDefault="005B5D50" w:rsidP="005B5D50">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 xml:space="preserve">We collect data about you in a variety of ways, this will include the information you would normally provide in a job application form or cover letter, or notes made by our recruiting officers during a recruitment interview. Further information will be collected directly from you when </w:t>
      </w:r>
      <w:proofErr w:type="gramStart"/>
      <w:r w:rsidRPr="6C16FF32">
        <w:rPr>
          <w:rFonts w:ascii="Tahoma" w:eastAsia="Times New Roman" w:hAnsi="Tahoma" w:cs="Tahoma"/>
          <w:sz w:val="22"/>
          <w:szCs w:val="22"/>
          <w:lang w:eastAsia="en-GB"/>
        </w:rPr>
        <w:t>you</w:t>
      </w:r>
      <w:proofErr w:type="gramEnd"/>
      <w:r w:rsidRPr="6C16FF32">
        <w:rPr>
          <w:rFonts w:ascii="Tahoma" w:eastAsia="Times New Roman" w:hAnsi="Tahoma" w:cs="Tahoma"/>
          <w:sz w:val="22"/>
          <w:szCs w:val="22"/>
          <w:lang w:eastAsia="en-GB"/>
        </w:rPr>
        <w:t xml:space="preserve"> complete forms at the start of your employment, for example, your bank and emergency contact details. Other details may be collected directly from you in the form of official documentation such as your passport or other right to work evidence. </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p>
    <w:p w:rsidR="005B5D50" w:rsidRPr="00A77FC4" w:rsidRDefault="005B5D50" w:rsidP="005B5D50">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 xml:space="preserve">Personal data is kept in personnel files or within </w:t>
      </w:r>
      <w:r>
        <w:rPr>
          <w:rFonts w:ascii="Tahoma" w:eastAsia="Times New Roman" w:hAnsi="Tahoma" w:cs="Tahoma"/>
          <w:sz w:val="22"/>
          <w:szCs w:val="22"/>
          <w:lang w:eastAsia="en-GB"/>
        </w:rPr>
        <w:t xml:space="preserve">Kincardine and Mearns CAB </w:t>
      </w:r>
      <w:r w:rsidRPr="6C16FF32">
        <w:rPr>
          <w:rFonts w:ascii="Tahoma" w:eastAsia="Times New Roman" w:hAnsi="Tahoma" w:cs="Tahoma"/>
          <w:sz w:val="22"/>
          <w:szCs w:val="22"/>
          <w:lang w:eastAsia="en-GB"/>
        </w:rPr>
        <w:t>HR and IT systems.</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p>
    <w:p w:rsidR="005B5D50" w:rsidRPr="00A77FC4" w:rsidRDefault="005B5D50" w:rsidP="005B5D50">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18703C26">
        <w:rPr>
          <w:rFonts w:ascii="Tahoma" w:eastAsia="Times New Roman" w:hAnsi="Tahoma" w:cs="Tahoma"/>
          <w:sz w:val="22"/>
          <w:szCs w:val="22"/>
          <w:lang w:eastAsia="en-GB"/>
        </w:rPr>
        <w:t>making reasonable adjustments for disabled employees</w:t>
      </w:r>
    </w:p>
    <w:p w:rsidR="005B5D50" w:rsidRPr="00A77FC4" w:rsidRDefault="005B5D50" w:rsidP="005B5D50">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lastRenderedPageBreak/>
        <w:t>We also collect data so that we can carry out activities which are in the legitimate interests of</w:t>
      </w:r>
      <w:r>
        <w:rPr>
          <w:rFonts w:ascii="Tahoma" w:eastAsia="Times New Roman" w:hAnsi="Tahoma" w:cs="Tahoma"/>
          <w:sz w:val="22"/>
          <w:szCs w:val="22"/>
          <w:lang w:eastAsia="en-GB"/>
        </w:rPr>
        <w:t xml:space="preserve"> Kincardine and Mearns CAB</w:t>
      </w:r>
      <w:r w:rsidRPr="6C16FF32">
        <w:rPr>
          <w:rFonts w:ascii="Tahoma" w:eastAsia="Times New Roman" w:hAnsi="Tahoma" w:cs="Tahoma"/>
          <w:sz w:val="22"/>
          <w:szCs w:val="22"/>
          <w:lang w:eastAsia="en-GB"/>
        </w:rPr>
        <w:t>. We have set these out below:</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rsidR="005B5D50" w:rsidRPr="00A77FC4" w:rsidRDefault="005B5D50" w:rsidP="005B5D50">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 xml:space="preserve">If you are unsuccessful in obtaining employment, we may seek your consent to retain your data in case the outcome of the recruitment process changes or other suitable job vacancies arise at </w:t>
      </w:r>
      <w:r>
        <w:rPr>
          <w:rFonts w:ascii="Tahoma" w:eastAsia="Times New Roman" w:hAnsi="Tahoma" w:cs="Tahoma"/>
          <w:sz w:val="22"/>
          <w:szCs w:val="22"/>
          <w:lang w:eastAsia="en-GB"/>
        </w:rPr>
        <w:t xml:space="preserve">Kincardine and Mearns CAB </w:t>
      </w:r>
      <w:r w:rsidRPr="6C16FF32">
        <w:rPr>
          <w:rFonts w:ascii="Tahoma" w:eastAsia="Times New Roman" w:hAnsi="Tahoma" w:cs="Tahoma"/>
          <w:sz w:val="22"/>
          <w:szCs w:val="22"/>
          <w:lang w:eastAsia="en-GB"/>
        </w:rPr>
        <w:t>for which we think you may wish to apply. You are free to withhold your consent to this and there will be no consequences for withholding consent.</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p>
    <w:p w:rsidR="005B5D50" w:rsidRPr="00A77FC4" w:rsidRDefault="005B5D50" w:rsidP="005B5D50">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rsidR="005B5D50" w:rsidRPr="00A77FC4" w:rsidRDefault="005B5D50" w:rsidP="005B5D50">
      <w:pPr>
        <w:spacing w:after="240" w:line="276" w:lineRule="auto"/>
        <w:ind w:right="-425"/>
        <w:contextualSpacing/>
        <w:jc w:val="both"/>
        <w:rPr>
          <w:rFonts w:ascii="Tahoma" w:eastAsia="FangSong" w:hAnsi="Tahoma" w:cs="Tahoma"/>
          <w:b/>
          <w:bCs/>
          <w:snapToGrid w:val="0"/>
          <w:sz w:val="22"/>
          <w:szCs w:val="22"/>
        </w:rPr>
      </w:pPr>
      <w:r w:rsidRPr="6C16FF32">
        <w:rPr>
          <w:rFonts w:ascii="Tahoma" w:eastAsia="Times New Roman" w:hAnsi="Tahoma" w:cs="Tahoma"/>
          <w:sz w:val="22"/>
          <w:szCs w:val="22"/>
          <w:lang w:eastAsia="en-GB"/>
        </w:rPr>
        <w:t>We request details of special category data as part of the recruitment process for the purposes of equal opportunities monitoring but this is processed anonymously.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Pr="6C16FF32">
        <w:rPr>
          <w:rFonts w:ascii="Tahoma" w:eastAsia="FangSong" w:hAnsi="Tahoma" w:cs="Tahoma"/>
          <w:b/>
          <w:bCs/>
          <w:sz w:val="22"/>
          <w:szCs w:val="22"/>
        </w:rPr>
        <w:br w:type="page"/>
      </w:r>
    </w:p>
    <w:p w:rsidR="005B5D50" w:rsidRPr="00A77FC4" w:rsidRDefault="005B5D50" w:rsidP="005B5D50">
      <w:pPr>
        <w:widowControl w:val="0"/>
        <w:tabs>
          <w:tab w:val="left" w:pos="426"/>
        </w:tabs>
        <w:spacing w:after="120" w:line="276" w:lineRule="auto"/>
        <w:ind w:left="426" w:right="-425" w:hanging="426"/>
        <w:jc w:val="both"/>
        <w:rPr>
          <w:rFonts w:ascii="Tahoma" w:eastAsia="FangSong" w:hAnsi="Tahoma" w:cs="Tahoma"/>
          <w:b/>
          <w:bCs/>
          <w:sz w:val="22"/>
          <w:szCs w:val="22"/>
          <w:lang w:eastAsia="en-GB"/>
        </w:rPr>
      </w:pPr>
      <w:r w:rsidRPr="6C16FF32">
        <w:rPr>
          <w:rFonts w:ascii="Tahoma" w:eastAsia="FangSong" w:hAnsi="Tahoma" w:cs="Tahoma"/>
          <w:b/>
          <w:bCs/>
          <w:snapToGrid w:val="0"/>
          <w:sz w:val="22"/>
          <w:szCs w:val="22"/>
        </w:rPr>
        <w:lastRenderedPageBreak/>
        <w:t>Criminal Convictions Data</w:t>
      </w:r>
    </w:p>
    <w:p w:rsidR="005B5D50" w:rsidRPr="00A77FC4" w:rsidRDefault="005B5D50" w:rsidP="005B5D50">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rsidR="005B5D50" w:rsidRPr="00A77FC4" w:rsidRDefault="005B5D50" w:rsidP="005B5D50">
      <w:pPr>
        <w:spacing w:after="240" w:line="276" w:lineRule="auto"/>
        <w:ind w:right="-425"/>
        <w:contextualSpacing/>
        <w:jc w:val="both"/>
        <w:rPr>
          <w:rFonts w:ascii="Tahoma" w:eastAsia="Times New Roman" w:hAnsi="Tahoma" w:cs="Tahoma"/>
          <w:sz w:val="22"/>
          <w:szCs w:val="22"/>
          <w:lang w:eastAsia="en-GB"/>
        </w:rPr>
      </w:pPr>
    </w:p>
    <w:p w:rsidR="005B5D50" w:rsidRPr="00A77FC4" w:rsidRDefault="005B5D50" w:rsidP="005B5D50">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 xml:space="preserve">For certain roles we may also require a Basic Disclosure check or a Protection of Vulnerable Groups (PVG) Certificate and the job advert will make it clear if either of these criminal records checks are required for the post. </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p>
    <w:p w:rsidR="005B5D50" w:rsidRPr="00A77FC4" w:rsidRDefault="005B5D50" w:rsidP="005B5D50">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p>
    <w:p w:rsidR="005B5D50" w:rsidRPr="00A77FC4" w:rsidRDefault="005B5D50" w:rsidP="005B5D50">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rsidR="005B5D50" w:rsidRPr="00A77FC4" w:rsidRDefault="005B5D50" w:rsidP="005B5D50">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 xml:space="preserve">Your data will be shared with colleagues within </w:t>
      </w:r>
      <w:r>
        <w:rPr>
          <w:rFonts w:ascii="Tahoma" w:eastAsia="Times New Roman" w:hAnsi="Tahoma" w:cs="Tahoma"/>
          <w:sz w:val="22"/>
          <w:szCs w:val="22"/>
          <w:lang w:eastAsia="en-GB"/>
        </w:rPr>
        <w:t xml:space="preserve">Kincardine and Mearns CAB </w:t>
      </w:r>
      <w:r w:rsidRPr="6C16FF32">
        <w:rPr>
          <w:rFonts w:ascii="Tahoma" w:eastAsia="Times New Roman" w:hAnsi="Tahoma" w:cs="Tahoma"/>
          <w:sz w:val="22"/>
          <w:szCs w:val="22"/>
          <w:lang w:eastAsia="en-GB"/>
        </w:rPr>
        <w:t xml:space="preserve">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p>
    <w:p w:rsidR="005B5D50" w:rsidRPr="00A77FC4" w:rsidRDefault="005B5D50" w:rsidP="005B5D50">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Your data will be shared with third parties if you are successful in your job application. In these circumstances, we will share your data in order to obtain references as part of the recruitment process, in order to obtain a basic Disclosure or PVG check if required, to process your pay via our outsourced payroll company, and to administer/set up your pension.</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rsidR="005B5D50" w:rsidRPr="00A77FC4" w:rsidRDefault="005B5D50" w:rsidP="005B5D50">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rsidR="005B5D50" w:rsidRPr="00A77FC4" w:rsidRDefault="005B5D50" w:rsidP="005B5D50">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Protecting Your Data</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p>
    <w:p w:rsidR="005B5D50" w:rsidRPr="00A77FC4" w:rsidRDefault="005B5D50" w:rsidP="005B5D50">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p>
    <w:p w:rsidR="005B5D50" w:rsidRPr="00A77FC4" w:rsidRDefault="005B5D50" w:rsidP="005B5D50">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If your application is not successful, we will keep your data for six months after the recruitment exercise ends.  This is so we can provide you with feedback on your application, or deal with any legal claims made against us.  At the end of this period, we will delete or destroy your data.</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p>
    <w:p w:rsidR="005B5D50" w:rsidRPr="00A77FC4" w:rsidRDefault="005B5D50" w:rsidP="005B5D50">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If your application is successful, your data will be kept and transferred to the systems we administer for employees. We have a separate privacy notice for employees, which will be provided to you.</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p>
    <w:p w:rsidR="005B5D50" w:rsidRPr="00A77FC4" w:rsidRDefault="005B5D50" w:rsidP="005B5D50">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rsidR="005B5D50" w:rsidRPr="00A77FC4" w:rsidRDefault="005B5D50" w:rsidP="005B5D50">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p>
    <w:p w:rsidR="005B5D50" w:rsidRPr="00A77FC4" w:rsidRDefault="005B5D50" w:rsidP="005B5D50">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 xml:space="preserve">Your Rights </w:t>
      </w:r>
      <w:proofErr w:type="gramStart"/>
      <w:r w:rsidRPr="00A77FC4">
        <w:rPr>
          <w:rFonts w:ascii="Tahoma" w:eastAsia="FangSong" w:hAnsi="Tahoma" w:cs="Tahoma"/>
          <w:b/>
          <w:snapToGrid w:val="0"/>
          <w:sz w:val="22"/>
          <w:szCs w:val="22"/>
        </w:rPr>
        <w:t>In</w:t>
      </w:r>
      <w:proofErr w:type="gramEnd"/>
      <w:r w:rsidRPr="00A77FC4">
        <w:rPr>
          <w:rFonts w:ascii="Tahoma" w:eastAsia="FangSong" w:hAnsi="Tahoma" w:cs="Tahoma"/>
          <w:b/>
          <w:snapToGrid w:val="0"/>
          <w:sz w:val="22"/>
          <w:szCs w:val="22"/>
        </w:rPr>
        <w:t xml:space="preserve"> Relation To Your Data</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rsidR="005B5D50" w:rsidRPr="00A77FC4" w:rsidRDefault="005B5D50" w:rsidP="005B5D50">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r w:rsidRPr="6C16FF32">
        <w:rPr>
          <w:rFonts w:ascii="Tahoma" w:eastAsia="Times New Roman" w:hAnsi="Tahoma" w:cs="Tahoma"/>
          <w:sz w:val="22"/>
          <w:szCs w:val="22"/>
          <w:lang w:eastAsia="en-GB"/>
        </w:rPr>
        <w:t xml:space="preserve">If you wish to exercise any of the rights explained above, please contact </w:t>
      </w:r>
      <w:hyperlink r:id="rId7" w:history="1">
        <w:r w:rsidRPr="002B1D22">
          <w:rPr>
            <w:rStyle w:val="Hyperlink"/>
          </w:rPr>
          <w:t>Nichola.hill@kamcab.org.uk</w:t>
        </w:r>
      </w:hyperlink>
      <w:r>
        <w:t xml:space="preserve"> </w:t>
      </w:r>
    </w:p>
    <w:p w:rsidR="005B5D50" w:rsidRPr="00A77FC4" w:rsidRDefault="005B5D50" w:rsidP="005B5D50">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rsidR="005B5D50" w:rsidRPr="00A77FC4" w:rsidRDefault="005B5D50" w:rsidP="005B5D50">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p w:rsidR="004B4CE3" w:rsidRDefault="004B4CE3"/>
    <w:sectPr w:rsidR="004B4CE3" w:rsidSect="00721839">
      <w:headerReference w:type="even" r:id="rId8"/>
      <w:headerReference w:type="default" r:id="rId9"/>
      <w:footerReference w:type="even" r:id="rId10"/>
      <w:footerReference w:type="default" r:id="rId11"/>
      <w:headerReference w:type="first" r:id="rId12"/>
      <w:footerReference w:type="first" r:id="rId13"/>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D50" w:rsidRDefault="005B5D50" w:rsidP="005B5D50">
      <w:r>
        <w:separator/>
      </w:r>
    </w:p>
  </w:endnote>
  <w:endnote w:type="continuationSeparator" w:id="0">
    <w:p w:rsidR="005B5D50" w:rsidRDefault="005B5D50" w:rsidP="005B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S Me">
    <w:altName w:val="Calibri"/>
    <w:panose1 w:val="00000000000000000000"/>
    <w:charset w:val="00"/>
    <w:family w:val="modern"/>
    <w:notTrueType/>
    <w:pitch w:val="variable"/>
    <w:sig w:usb0="A000002F" w:usb1="5000606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D50" w:rsidRDefault="005B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B3" w:rsidRPr="006B1EB3" w:rsidRDefault="005B5D50"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Pr>
        <w:rStyle w:val="PageNumber"/>
        <w:rFonts w:ascii="FS Me" w:hAnsi="FS Me"/>
        <w:noProof/>
        <w:color w:val="FFFFFF" w:themeColor="background1"/>
        <w:sz w:val="16"/>
        <w:szCs w:val="20"/>
      </w:rPr>
      <w:t>5</w:t>
    </w:r>
    <w:r w:rsidRPr="006B1EB3">
      <w:rPr>
        <w:rStyle w:val="PageNumber"/>
        <w:rFonts w:ascii="FS Me" w:hAnsi="FS Me"/>
        <w:color w:val="FFFFFF" w:themeColor="background1"/>
        <w:sz w:val="16"/>
        <w:szCs w:val="20"/>
      </w:rPr>
      <w:fldChar w:fldCharType="end"/>
    </w:r>
  </w:p>
  <w:p w:rsidR="00295282" w:rsidRDefault="005B5D50" w:rsidP="008D3023">
    <w:pPr>
      <w:pStyle w:val="Footer"/>
      <w:tabs>
        <w:tab w:val="clear" w:pos="4320"/>
        <w:tab w:val="clear" w:pos="8640"/>
        <w:tab w:val="right" w:pos="8300"/>
      </w:tabs>
      <w:ind w:left="-567"/>
    </w:pPr>
    <w:bookmarkStart w:id="0" w:name="_GoBack"/>
    <w:r>
      <w:rPr>
        <w:noProof/>
        <w:lang w:eastAsia="en-GB"/>
      </w:rPr>
      <w:drawing>
        <wp:anchor distT="0" distB="0" distL="114300" distR="114300" simplePos="0" relativeHeight="251659264" behindDoc="1" locked="0" layoutInCell="1" allowOverlap="1" wp14:anchorId="11E8EE28" wp14:editId="30052DB4">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bookmarkEnd w:id="0"/>
    <w:r>
      <w:tab/>
    </w:r>
    <w:r>
      <w:t>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Default="005B5D50"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59D6630C" wp14:editId="10A2B661">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4D3B53BF" wp14:editId="78089C2D">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rsidR="008C1B14" w:rsidRPr="006B1EB3" w:rsidRDefault="005B5D50"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rsidR="008C1B14" w:rsidRDefault="005B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D50" w:rsidRDefault="005B5D50" w:rsidP="005B5D50">
      <w:r>
        <w:separator/>
      </w:r>
    </w:p>
  </w:footnote>
  <w:footnote w:type="continuationSeparator" w:id="0">
    <w:p w:rsidR="005B5D50" w:rsidRDefault="005B5D50" w:rsidP="005B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Default="005B5D50">
    <w:pPr>
      <w:pStyle w:val="Header"/>
    </w:pPr>
    <w:sdt>
      <w:sdtPr>
        <w:id w:val="-1857803478"/>
        <w:temporary/>
        <w:showingPlcHdr/>
      </w:sdtPr>
      <w:sdtEndPr/>
      <w:sdtContent>
        <w:r>
          <w:t>[Type text]</w:t>
        </w:r>
      </w:sdtContent>
    </w:sdt>
    <w:r>
      <w:ptab w:relativeTo="margin" w:alignment="center" w:leader="none"/>
    </w:r>
    <w:sdt>
      <w:sdtPr>
        <w:id w:val="668984938"/>
        <w:temporary/>
        <w:showingPlcHdr/>
      </w:sdtPr>
      <w:sdtEndPr/>
      <w:sdtContent>
        <w:r>
          <w:t>[Type text]</w:t>
        </w:r>
      </w:sdtContent>
    </w:sdt>
    <w:r>
      <w:ptab w:relativeTo="margin" w:alignment="right" w:leader="none"/>
    </w:r>
    <w:sdt>
      <w:sdtPr>
        <w:id w:val="-564415846"/>
        <w:temporary/>
        <w:showingPlcHdr/>
      </w:sdtPr>
      <w:sdtEndPr/>
      <w:sdtContent>
        <w:r>
          <w:t>[Type text]</w:t>
        </w:r>
      </w:sdtContent>
    </w:sdt>
  </w:p>
  <w:p w:rsidR="00295282" w:rsidRDefault="005B5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746" w:rsidRDefault="005B5D50" w:rsidP="00033746">
    <w:pPr>
      <w:pStyle w:val="Header"/>
      <w:tabs>
        <w:tab w:val="clear" w:pos="8640"/>
        <w:tab w:val="right" w:pos="8505"/>
      </w:tabs>
      <w:ind w:right="-852"/>
      <w:rPr>
        <w:rFonts w:ascii="FS Me" w:hAnsi="FS Me" w:cs="Tahoma"/>
        <w:color w:val="000000" w:themeColor="text1"/>
        <w:sz w:val="20"/>
        <w:szCs w:val="18"/>
      </w:rPr>
    </w:pPr>
  </w:p>
  <w:p w:rsidR="00295282" w:rsidRDefault="005B5D50" w:rsidP="10F50D49">
    <w:pPr>
      <w:pStyle w:val="Header"/>
      <w:tabs>
        <w:tab w:val="clear" w:pos="8640"/>
        <w:tab w:val="right" w:pos="8364"/>
      </w:tabs>
      <w:ind w:right="-427"/>
      <w:rPr>
        <w:rFonts w:ascii="FS Me" w:hAnsi="FS Me" w:cs="Tahoma"/>
        <w:color w:val="000000" w:themeColor="text1"/>
        <w:sz w:val="20"/>
        <w:szCs w:val="20"/>
        <w:highlight w:val="yellow"/>
      </w:rPr>
    </w:pPr>
    <w:r w:rsidRPr="10F50D49">
      <w:rPr>
        <w:rFonts w:ascii="FS Me" w:hAnsi="FS Me" w:cs="Tahoma"/>
        <w:color w:val="000000" w:themeColor="text1"/>
        <w:sz w:val="20"/>
        <w:szCs w:val="20"/>
      </w:rPr>
      <w:t>Privacy Notice for Job Applicants</w:t>
    </w:r>
    <w:r>
      <w:tab/>
    </w:r>
    <w:r>
      <w:tab/>
    </w:r>
    <w:r>
      <w:rPr>
        <w:rFonts w:ascii="FS Me" w:hAnsi="FS Me" w:cs="Tahoma"/>
        <w:color w:val="000000" w:themeColor="text1"/>
        <w:sz w:val="20"/>
        <w:szCs w:val="20"/>
      </w:rPr>
      <w:t xml:space="preserve">Kincardine and Mearns CAB </w:t>
    </w:r>
  </w:p>
  <w:p w:rsidR="00721839" w:rsidRDefault="005B5D50" w:rsidP="009F44FC">
    <w:pPr>
      <w:pStyle w:val="Header"/>
      <w:tabs>
        <w:tab w:val="clear" w:pos="8640"/>
        <w:tab w:val="right" w:pos="8364"/>
      </w:tabs>
      <w:ind w:right="-427"/>
      <w:rPr>
        <w:rFonts w:ascii="FS Me" w:hAnsi="FS Me" w:cs="Tahoma"/>
        <w:color w:val="000000" w:themeColor="text1"/>
        <w:sz w:val="20"/>
        <w:szCs w:val="18"/>
      </w:rPr>
    </w:pPr>
  </w:p>
  <w:p w:rsidR="00721839" w:rsidRPr="00033746" w:rsidRDefault="005B5D50"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Pr="003A7648" w:rsidRDefault="005B5D50" w:rsidP="00FD2CE7">
    <w:pPr>
      <w:pStyle w:val="Header"/>
      <w:ind w:right="-569"/>
      <w:rPr>
        <w:b/>
        <w:color w:val="005AB6"/>
      </w:rPr>
    </w:pPr>
    <w:r w:rsidRPr="00885CDD">
      <w:rPr>
        <w:b/>
        <w:color w:val="005AB6"/>
      </w:rPr>
      <w:t xml:space="preserve"> </w:t>
    </w:r>
  </w:p>
  <w:p w:rsidR="00A77FC4" w:rsidRPr="006F4166" w:rsidRDefault="005B5D50" w:rsidP="00A77FC4">
    <w:pPr>
      <w:pStyle w:val="Heading1"/>
      <w:rPr>
        <w:rFonts w:ascii="Tahoma" w:hAnsi="Tahoma" w:cs="Tahoma"/>
      </w:rPr>
    </w:pPr>
    <w:r>
      <w:rPr>
        <w:rFonts w:ascii="Tahoma" w:hAnsi="Tahoma" w:cs="Tahoma"/>
        <w:color w:val="064169"/>
      </w:rPr>
      <w:t>Privacy Notice for Job Applicants</w:t>
    </w:r>
  </w:p>
  <w:p w:rsidR="00A77FC4" w:rsidRPr="006F4166" w:rsidRDefault="005B5D50"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2336" behindDoc="0" locked="0" layoutInCell="1" allowOverlap="1" wp14:anchorId="51B71C92" wp14:editId="78CFE022">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AE5D596" id="Straight Connector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" strokecolor="#003e82" strokeweight="3pt">
              <v:stroke joinstyle="miter"/>
            </v:line>
          </w:pict>
        </mc:Fallback>
      </mc:AlternateContent>
    </w:r>
  </w:p>
  <w:p w:rsidR="008C1B14" w:rsidRPr="008C1B14" w:rsidRDefault="005B5D50"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50"/>
    <w:rsid w:val="004B4CE3"/>
    <w:rsid w:val="005B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3AC1DD"/>
  <w15:chartTrackingRefBased/>
  <w15:docId w15:val="{E82BFFF3-244F-442A-8940-9E5752DE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D50"/>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5B5D50"/>
    <w:pPr>
      <w:spacing w:line="276" w:lineRule="auto"/>
      <w:outlineLvl w:val="0"/>
    </w:pPr>
    <w:rPr>
      <w:rFonts w:cstheme="minorHAnsi"/>
      <w:b/>
      <w:color w:val="003E8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D50"/>
    <w:rPr>
      <w:rFonts w:eastAsiaTheme="minorEastAsia" w:cstheme="minorHAnsi"/>
      <w:b/>
      <w:color w:val="003E82"/>
      <w:sz w:val="34"/>
      <w:szCs w:val="34"/>
    </w:rPr>
  </w:style>
  <w:style w:type="paragraph" w:styleId="Header">
    <w:name w:val="header"/>
    <w:basedOn w:val="Normal"/>
    <w:link w:val="HeaderChar"/>
    <w:uiPriority w:val="99"/>
    <w:unhideWhenUsed/>
    <w:rsid w:val="005B5D50"/>
    <w:pPr>
      <w:tabs>
        <w:tab w:val="center" w:pos="4320"/>
        <w:tab w:val="right" w:pos="8640"/>
      </w:tabs>
    </w:pPr>
  </w:style>
  <w:style w:type="character" w:customStyle="1" w:styleId="HeaderChar">
    <w:name w:val="Header Char"/>
    <w:basedOn w:val="DefaultParagraphFont"/>
    <w:link w:val="Header"/>
    <w:uiPriority w:val="99"/>
    <w:rsid w:val="005B5D50"/>
    <w:rPr>
      <w:rFonts w:eastAsiaTheme="minorEastAsia"/>
      <w:sz w:val="24"/>
      <w:szCs w:val="24"/>
    </w:rPr>
  </w:style>
  <w:style w:type="paragraph" w:styleId="Footer">
    <w:name w:val="footer"/>
    <w:basedOn w:val="Normal"/>
    <w:link w:val="FooterChar"/>
    <w:uiPriority w:val="99"/>
    <w:unhideWhenUsed/>
    <w:rsid w:val="005B5D50"/>
    <w:pPr>
      <w:tabs>
        <w:tab w:val="center" w:pos="4320"/>
        <w:tab w:val="right" w:pos="8640"/>
      </w:tabs>
    </w:pPr>
  </w:style>
  <w:style w:type="character" w:customStyle="1" w:styleId="FooterChar">
    <w:name w:val="Footer Char"/>
    <w:basedOn w:val="DefaultParagraphFont"/>
    <w:link w:val="Footer"/>
    <w:uiPriority w:val="99"/>
    <w:rsid w:val="005B5D50"/>
    <w:rPr>
      <w:rFonts w:eastAsiaTheme="minorEastAsia"/>
      <w:sz w:val="24"/>
      <w:szCs w:val="24"/>
    </w:rPr>
  </w:style>
  <w:style w:type="character" w:styleId="Hyperlink">
    <w:name w:val="Hyperlink"/>
    <w:basedOn w:val="DefaultParagraphFont"/>
    <w:uiPriority w:val="99"/>
    <w:unhideWhenUsed/>
    <w:rsid w:val="005B5D50"/>
    <w:rPr>
      <w:color w:val="0563C1" w:themeColor="hyperlink"/>
      <w:u w:val="single"/>
    </w:rPr>
  </w:style>
  <w:style w:type="paragraph" w:styleId="ListParagraph">
    <w:name w:val="List Paragraph"/>
    <w:basedOn w:val="Normal"/>
    <w:uiPriority w:val="34"/>
    <w:qFormat/>
    <w:rsid w:val="005B5D50"/>
    <w:pPr>
      <w:spacing w:line="276" w:lineRule="auto"/>
      <w:ind w:left="720"/>
      <w:contextualSpacing/>
    </w:pPr>
    <w:rPr>
      <w:sz w:val="20"/>
    </w:rPr>
  </w:style>
  <w:style w:type="character" w:styleId="PageNumber">
    <w:name w:val="page number"/>
    <w:basedOn w:val="DefaultParagraphFont"/>
    <w:uiPriority w:val="99"/>
    <w:semiHidden/>
    <w:unhideWhenUsed/>
    <w:rsid w:val="005B5D50"/>
  </w:style>
  <w:style w:type="paragraph" w:customStyle="1" w:styleId="ParaClause">
    <w:name w:val="Para Clause"/>
    <w:basedOn w:val="Normal"/>
    <w:rsid w:val="005B5D50"/>
    <w:pPr>
      <w:spacing w:before="120" w:after="120" w:line="300" w:lineRule="atLeast"/>
      <w:ind w:left="720"/>
      <w:jc w:val="both"/>
    </w:pPr>
    <w:rPr>
      <w:rFonts w:ascii="Arial" w:eastAsia="Times New Roman" w:hAnsi="Arial" w:cs="Times New Roman"/>
      <w:color w:val="000000"/>
      <w:sz w:val="18"/>
      <w:szCs w:val="20"/>
    </w:rPr>
  </w:style>
  <w:style w:type="character" w:styleId="UnresolvedMention">
    <w:name w:val="Unresolved Mention"/>
    <w:basedOn w:val="DefaultParagraphFont"/>
    <w:uiPriority w:val="99"/>
    <w:semiHidden/>
    <w:unhideWhenUsed/>
    <w:rsid w:val="005B5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ichola.hill@kamcab.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Hill</dc:creator>
  <cp:keywords/>
  <dc:description/>
  <cp:lastModifiedBy>Nichola Hill</cp:lastModifiedBy>
  <cp:revision>1</cp:revision>
  <dcterms:created xsi:type="dcterms:W3CDTF">2023-05-26T08:49:00Z</dcterms:created>
  <dcterms:modified xsi:type="dcterms:W3CDTF">2023-05-26T08:55:00Z</dcterms:modified>
</cp:coreProperties>
</file>